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356BA">
      <w:pPr>
        <w:rPr>
          <w:rFonts w:hint="default" w:ascii="Times New Roman" w:hAnsi="Times New Roman" w:cs="Times New Roman"/>
          <w:b w:val="0"/>
          <w:bCs w:val="0"/>
          <w:color w:val="000000"/>
          <w:sz w:val="24"/>
        </w:rPr>
      </w:pPr>
    </w:p>
    <w:p w14:paraId="07A9ED82">
      <w:pPr>
        <w:rPr>
          <w:rFonts w:hint="default" w:ascii="Times New Roman" w:hAnsi="Times New Roman" w:cs="Times New Roman"/>
          <w:b w:val="0"/>
          <w:bCs w:val="0"/>
          <w:color w:val="000000"/>
          <w:sz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lang w:val="en-US" w:eastAsia="zh-CN"/>
        </w:rPr>
        <w:t xml:space="preserve">Supplementary Figure 1.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>Receiver operating characteristic (ROC) curves demonstrating the diagnostic performance of hub genes (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lang w:val="en-US" w:eastAsia="zh-CN"/>
        </w:rPr>
        <w:t>CAMP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>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>in two independent cerebral ischemic stroke (CIS) datasets (GSE58294 and GSE16561)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>two independent coronary artery disease (CAD) cohorts (GSE42148 and GSE23561).</w:t>
      </w:r>
    </w:p>
    <w:p w14:paraId="0BE0C7BD">
      <w:pPr>
        <w:rPr>
          <w:rFonts w:hint="default" w:ascii="Times New Roman" w:hAnsi="Times New Roman" w:cs="Times New Roman"/>
          <w:b w:val="0"/>
          <w:bCs w:val="0"/>
          <w:color w:val="000000"/>
          <w:sz w:val="24"/>
        </w:rPr>
      </w:pPr>
    </w:p>
    <w:p w14:paraId="6084E1FE">
      <w:pPr>
        <w:rPr>
          <w:rFonts w:hint="eastAsia" w:ascii="Times New Roman" w:hAnsi="Times New Roman" w:cs="Times New Roman" w:eastAsiaTheme="minorEastAsia"/>
          <w:b w:val="0"/>
          <w:bCs w:val="0"/>
          <w:color w:val="000000"/>
          <w:sz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color w:val="000000"/>
          <w:sz w:val="24"/>
          <w:lang w:eastAsia="zh-CN"/>
        </w:rPr>
        <w:drawing>
          <wp:inline distT="0" distB="0" distL="114300" distR="114300">
            <wp:extent cx="5268595" cy="1301750"/>
            <wp:effectExtent l="0" t="0" r="8255" b="12700"/>
            <wp:docPr id="1" name="图片 1" descr="Figure_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_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E207D">
      <w:pPr>
        <w:rPr>
          <w:rFonts w:hint="eastAsia" w:ascii="Times New Roman" w:hAnsi="Times New Roman" w:cs="Times New Roman" w:eastAsiaTheme="minorEastAsia"/>
          <w:b w:val="0"/>
          <w:bCs w:val="0"/>
          <w:color w:val="000000"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cs="Times New Roman" w:eastAsiaTheme="minorEastAsia"/>
          <w:b w:val="0"/>
          <w:bCs w:val="0"/>
          <w:color w:val="000000"/>
          <w:sz w:val="24"/>
          <w:lang w:eastAsia="zh-CN"/>
        </w:rPr>
        <w:br w:type="page"/>
      </w:r>
    </w:p>
    <w:p w14:paraId="242C4185">
      <w:pPr>
        <w:rPr>
          <w:rFonts w:hint="default" w:ascii="Times New Roman" w:hAnsi="Times New Roman" w:cs="Times New Roman"/>
          <w:b w:val="0"/>
          <w:bCs w:val="0"/>
          <w:color w:val="000000"/>
          <w:sz w:val="24"/>
        </w:rPr>
      </w:pPr>
      <w:bookmarkStart w:id="0" w:name="_GoBack"/>
      <w:r>
        <w:rPr>
          <w:rFonts w:hint="default" w:ascii="Times New Roman" w:hAnsi="Times New Roman" w:cs="Times New Roman"/>
          <w:b/>
          <w:bCs/>
          <w:color w:val="000000"/>
          <w:sz w:val="24"/>
        </w:rPr>
        <w:t>Supplementary Table</w:t>
      </w:r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</w:rPr>
        <w:t xml:space="preserve"> 1.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 xml:space="preserve"> Immune cell correlation matrices.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</w:rPr>
        <w:t>Spearman correlation coefficients (r) and corresponding P-values for interactions among immune cell subtypes in the GSE42148 (CAD) and GSE58294 (CIS) datasets.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697"/>
        <w:gridCol w:w="594"/>
        <w:gridCol w:w="800"/>
        <w:gridCol w:w="1109"/>
        <w:gridCol w:w="1178"/>
        <w:gridCol w:w="1109"/>
        <w:gridCol w:w="869"/>
        <w:gridCol w:w="766"/>
        <w:gridCol w:w="525"/>
        <w:gridCol w:w="697"/>
        <w:gridCol w:w="697"/>
        <w:gridCol w:w="697"/>
        <w:gridCol w:w="1075"/>
        <w:gridCol w:w="903"/>
        <w:gridCol w:w="594"/>
        <w:gridCol w:w="594"/>
      </w:tblGrid>
      <w:tr w14:paraId="46A2C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894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F1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 cells memory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9E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1C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naive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9FD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memory resting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5D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memory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5B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regulatory (Tregs)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CD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gamma delta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B1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NK cells resting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D9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Monocytes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97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B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85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FC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Dendritic cells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38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Mast cells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C1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Eosinophils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4A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Neutrophils</w:t>
            </w:r>
          </w:p>
        </w:tc>
      </w:tr>
      <w:tr w14:paraId="2A5A5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5E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 cells memory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EA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B6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71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D4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A1B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B4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AC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1AC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66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07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35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EC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EA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44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FA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09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</w:tr>
      <w:tr w14:paraId="234C1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92A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D69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94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77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1B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DF2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961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A25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26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5FA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5EC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D7B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28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D1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22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7B6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E3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0.29 </w:t>
            </w:r>
          </w:p>
        </w:tc>
      </w:tr>
      <w:tr w14:paraId="1A070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AE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naive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8A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D0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C7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CF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DF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78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85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B9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3A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89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12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BB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3F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280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040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F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-0.64 </w:t>
            </w:r>
          </w:p>
        </w:tc>
      </w:tr>
      <w:tr w14:paraId="09D9C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E3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memory resting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81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4C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96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0D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CF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91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17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7E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C8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EC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D1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83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282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60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5A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95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0.14 </w:t>
            </w:r>
          </w:p>
        </w:tc>
      </w:tr>
      <w:tr w14:paraId="6F11A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8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CD4 memory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38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E2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BE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C3A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CEB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D9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E4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58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FC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40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C7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D9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77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D4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4C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04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</w:tr>
      <w:tr w14:paraId="5B7A6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E1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regulatory (Tregs)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85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F1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52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87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00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5B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D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82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74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13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9DC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7E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AF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B4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E0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F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-0.53 </w:t>
            </w:r>
          </w:p>
        </w:tc>
      </w:tr>
      <w:tr w14:paraId="49810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4B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 cells gamma delta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25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B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2B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B0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67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0A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17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40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2B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6E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C1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A1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7B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42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CE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D5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-0.65 </w:t>
            </w:r>
          </w:p>
        </w:tc>
      </w:tr>
      <w:tr w14:paraId="2B76B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6C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NK cells resting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C7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6A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9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EC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B6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C4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35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B3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B4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34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D0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0A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2F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0D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DD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F5D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0.52 </w:t>
            </w:r>
          </w:p>
        </w:tc>
      </w:tr>
      <w:tr w14:paraId="012A5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A7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Monocytes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A8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47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1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31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E4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B7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FF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F7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87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AD2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E6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A3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5D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D86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1A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18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</w:tr>
      <w:tr w14:paraId="14592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44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29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A7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FD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8D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E3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38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EA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B9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89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E4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EA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7D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AE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37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34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45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-0.18 </w:t>
            </w:r>
          </w:p>
        </w:tc>
      </w:tr>
      <w:tr w14:paraId="7734F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B7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49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1B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274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E3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21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AD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E9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025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88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89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B24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B5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35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14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861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13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-0.80 </w:t>
            </w:r>
          </w:p>
        </w:tc>
      </w:tr>
      <w:tr w14:paraId="0B3D5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DF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Macrophages 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17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79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8D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A6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0E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85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50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36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E9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81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86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08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75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C2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43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48D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0.53 </w:t>
            </w:r>
          </w:p>
        </w:tc>
      </w:tr>
      <w:tr w14:paraId="5B42A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4E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Dendritic cells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98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43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19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C2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3E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21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68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5A6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72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E3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62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FC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C6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82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8A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75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</w:tr>
      <w:tr w14:paraId="32C1D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3A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Mast cells activated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96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5B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E4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A4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2D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AE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AB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67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67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948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8A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38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40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5DF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F8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08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-0.68 </w:t>
            </w:r>
          </w:p>
        </w:tc>
      </w:tr>
      <w:tr w14:paraId="015A6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0F6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Eosinophils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D1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E7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51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6E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97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D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AF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7D6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D9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A7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67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FA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0EE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F0F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F2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44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0.48 </w:t>
            </w:r>
          </w:p>
        </w:tc>
      </w:tr>
      <w:tr w14:paraId="02B42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93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Neutrophils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0F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BE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6E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0D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1D4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B1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34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8D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5C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FB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2E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488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D2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A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-0.68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84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0.48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00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</w:tr>
    </w:tbl>
    <w:p w14:paraId="36059319">
      <w:pPr>
        <w:rPr>
          <w:rFonts w:hint="default" w:ascii="Times New Roman" w:hAnsi="Times New Roman" w:cs="Times New Roman"/>
          <w:b w:val="0"/>
          <w:bCs w:val="0"/>
          <w:color w:val="000000"/>
          <w:sz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2140D"/>
    <w:rsid w:val="0852140D"/>
    <w:rsid w:val="16D9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</Words>
  <Characters>455</Characters>
  <Lines>0</Lines>
  <Paragraphs>0</Paragraphs>
  <TotalTime>15</TotalTime>
  <ScaleCrop>false</ScaleCrop>
  <LinksUpToDate>false</LinksUpToDate>
  <CharactersWithSpaces>521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2025-12-11T01:46:00Z</dcterms:created>
  <dc:creator>Marson</dc:creator>
  <cp:lastModifiedBy>Marson</cp:lastModifiedBy>
  <dcterms:modified xsi:type="dcterms:W3CDTF">2025-12-11T02:29:43Z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0606F4079A264443949DA3E0A5AF5FBD_11</vt:lpwstr>
  </property>
  <property fmtid="{D5CDD505-2E9C-101B-9397-08002B2CF9AE}" pid="4" name="KSOTemplateDocerSaveRecord">
    <vt:lpwstr>eyJoZGlkIjoiMmE1N2MzODdmZTVhZDUxYzA1NmI2YjBjMmNkMTM2OWEiLCJ1c2VySWQiOiIyMzgyMTY5MjkifQ==</vt:lpwstr>
  </property>
</Properties>
</file>